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Joint Schedule 7 (Financial Difficulties)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[Guidance: This Schedule provides CCS and the Buyer with the option of using Credit Ratings and/or Financial Indicators for the purposes of the Financial Distress Provisions. Buyers may use any combination of these indicators to suit their own requirements subject to the detailed guidance below.  ]</w:t>
      </w:r>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4">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005">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539.0" w:type="dxa"/>
        <w:jc w:val="left"/>
        <w:tblInd w:w="1008.0" w:type="dxa"/>
        <w:tblLayout w:type="fixed"/>
        <w:tblLook w:val="0000"/>
      </w:tblPr>
      <w:tblGrid>
        <w:gridCol w:w="2417"/>
        <w:gridCol w:w="6122"/>
        <w:tblGridChange w:id="0">
          <w:tblGrid>
            <w:gridCol w:w="2417"/>
            <w:gridCol w:w="6122"/>
          </w:tblGrid>
        </w:tblGridChange>
      </w:tblGrid>
      <w:tr>
        <w:trPr>
          <w:cantSplit w:val="0"/>
          <w:tblHeader w:val="0"/>
        </w:trPr>
        <w:tc>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“Applicable Financial Indicators”</w:t>
            </w:r>
          </w:p>
        </w:tc>
        <w:tc>
          <w:tcPr/>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financial indicators from Paragraph 5.1 of this Schedule which are to apply to the Monitored Suppliers as set out in Paragraph 5.2 of this Schedule;</w:t>
            </w:r>
          </w:p>
        </w:tc>
      </w:tr>
      <w:tr>
        <w:trPr>
          <w:cantSplit w:val="0"/>
          <w:tblHeader w:val="0"/>
        </w:trPr>
        <w:tc>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“Board”</w:t>
            </w:r>
          </w:p>
        </w:tc>
        <w:tc>
          <w:tcPr/>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Supplier’s board of directors;</w:t>
            </w:r>
          </w:p>
        </w:tc>
      </w:tr>
      <w:tr>
        <w:trPr>
          <w:cantSplit w:val="0"/>
          <w:tblHeader w:val="0"/>
        </w:trPr>
        <w:tc>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“Board Confirmation”</w:t>
            </w:r>
          </w:p>
        </w:tc>
        <w:tc>
          <w:tcPr/>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written confirmation from the Board in accordance with Paragraph 8 of this Schedule;</w:t>
            </w:r>
          </w:p>
        </w:tc>
      </w:tr>
      <w:tr>
        <w:trPr>
          <w:cantSplit w:val="0"/>
          <w:tblHeader w:val="0"/>
        </w:trPr>
        <w:tc>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“Cabinet Office Markets and Suppliers Team”</w:t>
            </w:r>
          </w:p>
        </w:tc>
        <w:tc>
          <w:tcPr/>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UK Government’s team responsible for managing the relationship between government and its Strategic Suppliers, or any replacement or successor body carrying out the same function;</w:t>
            </w:r>
          </w:p>
        </w:tc>
      </w:tr>
      <w:tr>
        <w:trPr>
          <w:cantSplit w:val="0"/>
          <w:tblHeader w:val="0"/>
        </w:trPr>
        <w:tc>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"Credit Rating Threshold"</w:t>
            </w:r>
          </w:p>
        </w:tc>
        <w:tc>
          <w:tcPr/>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minimum credit rating level for each entity in the FDE Group as set out in Annex 1 to this Schedule </w:t>
            </w:r>
          </w:p>
        </w:tc>
      </w:tr>
      <w:tr>
        <w:trPr>
          <w:cantSplit w:val="0"/>
          <w:tblHeader w:val="0"/>
        </w:trPr>
        <w:tc>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“FDE Group”</w:t>
            </w:r>
          </w:p>
        </w:tc>
        <w:tc>
          <w:tcPr/>
          <w:p w:rsidR="00000000" w:rsidDel="00000000" w:rsidP="00000000" w:rsidRDefault="00000000" w:rsidRPr="00000000" w14:paraId="0000001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[Supplier, Key Sub-contractors, [the Guarantor] and the [Monitored Suppliers]];</w:t>
            </w:r>
            <w:r w:rsidDel="00000000" w:rsidR="00000000" w:rsidRPr="00000000">
              <w:rPr>
                <w:rtl w:val="0"/>
              </w:rPr>
            </w:r>
          </w:p>
        </w:tc>
      </w:tr>
      <w:tr>
        <w:trPr>
          <w:cantSplit w:val="0"/>
          <w:tblHeader w:val="0"/>
        </w:trPr>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Distress Event"</w:t>
            </w:r>
          </w:p>
        </w:tc>
        <w:tc>
          <w:tcPr/>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of the events listed in Paragraph 3.1 of this Schedule; </w:t>
            </w:r>
          </w:p>
        </w:tc>
      </w:tr>
      <w:tr>
        <w:trPr>
          <w:cantSplit w:val="0"/>
          <w:tblHeader w:val="0"/>
        </w:trPr>
        <w:tc>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Distress Remediation Plan”</w:t>
            </w:r>
          </w:p>
        </w:tc>
        <w:tc>
          <w:tcPr/>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plan setting out how the Supplier will ensure the continued performance and delivery of the Deliverables in accordance with the Contract in the event that a Financial Distress Event occurs;</w:t>
            </w:r>
          </w:p>
        </w:tc>
      </w:tr>
      <w:tr>
        <w:trPr>
          <w:cantSplit w:val="0"/>
          <w:tblHeader w:val="0"/>
        </w:trPr>
        <w:tc>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Indicators”</w:t>
            </w:r>
          </w:p>
        </w:tc>
        <w:tc>
          <w:tcPr/>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the Supplier, Key Sub-contractors and the Guarantor, means each of the financial indicators set out at paragraph 5.1 of this Schedule and in respect of each Monitored Supplier, means those Applicable Financial Indicators;</w:t>
            </w:r>
          </w:p>
        </w:tc>
      </w:tr>
      <w:tr>
        <w:trPr>
          <w:cantSplit w:val="0"/>
          <w:tblHeader w:val="0"/>
        </w:trPr>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Target Thresholds”</w:t>
            </w:r>
          </w:p>
        </w:tc>
        <w:tc>
          <w:tcPr/>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target thresholds for each of the Financial Indicators set out at paragraph 5.1 of this Schedule;</w:t>
            </w:r>
          </w:p>
        </w:tc>
      </w:tr>
      <w:tr>
        <w:trPr>
          <w:cantSplit w:val="0"/>
          <w:tblHeader w:val="0"/>
        </w:trPr>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“Monitored Suppliers”</w:t>
            </w:r>
          </w:p>
        </w:tc>
        <w:tc>
          <w:tcPr/>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those entities specified at paragraph 5.2 of this Schedule;</w:t>
            </w:r>
          </w:p>
        </w:tc>
      </w:tr>
      <w:tr>
        <w:trPr>
          <w:cantSplit w:val="0"/>
          <w:tblHeader w:val="0"/>
        </w:trPr>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"Rating Agencies"</w:t>
            </w:r>
          </w:p>
        </w:tc>
        <w:tc>
          <w:tcPr/>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rating agencies listed in Annex 1 of this Schedule.</w:t>
            </w:r>
          </w:p>
        </w:tc>
      </w:tr>
      <w:tr>
        <w:trPr>
          <w:cantSplit w:val="0"/>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“Strategic Supplier”</w:t>
            </w:r>
          </w:p>
        </w:tc>
        <w:tc>
          <w:tcPr/>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those suppliers to government listed at </w:t>
            </w:r>
            <w:hyperlink r:id="r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https://www.gov.uk/government/publications/strategic-suppliers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bl>
    <w:p w:rsidR="00000000" w:rsidDel="00000000" w:rsidP="00000000" w:rsidRDefault="00000000" w:rsidRPr="00000000" w14:paraId="0000002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shall comply with the provisions of this Schedule in relation to the assessment of the financial standing of the FDE Group and the consequences of a change to that financial standing.</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217.99999999999997"/>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Warranties and duty to notify</w:t>
      </w:r>
    </w:p>
    <w:p w:rsidR="00000000" w:rsidDel="00000000" w:rsidP="00000000" w:rsidRDefault="00000000" w:rsidRPr="00000000" w14:paraId="0000002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warrants and represents to the Relevant Authority for the benefit of the Relevant Authority that as at the Effective Date:</w:t>
      </w:r>
    </w:p>
    <w:p w:rsidR="00000000" w:rsidDel="00000000" w:rsidP="00000000" w:rsidRDefault="00000000" w:rsidRPr="00000000" w14:paraId="0000002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long term credit ratings issued for each entity in the FDE Group by each of the Rating Agencies are as set out in Annex 2 to this Schedule; and</w:t>
      </w:r>
    </w:p>
    <w:p w:rsidR="00000000" w:rsidDel="00000000" w:rsidP="00000000" w:rsidRDefault="00000000" w:rsidRPr="00000000" w14:paraId="0000002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financial position or, as appropriate, the financial performance of each of the Supplier, Guarantor and Key Sub-contractors satisfies the Financial Target Thresholds.</w:t>
      </w:r>
    </w:p>
    <w:p w:rsidR="00000000" w:rsidDel="00000000" w:rsidP="00000000" w:rsidRDefault="00000000" w:rsidRPr="00000000" w14:paraId="0000002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notify (or shall procure that its auditors promptly notify) the Relevant Authority in writing if there is any downgrade in the credit rating issued by any Rating Agency for any entity in the FDE Group (and in any event within 5 Working Days of the occurrence of the downgrade).</w:t>
      </w:r>
    </w:p>
    <w:p w:rsidR="00000000" w:rsidDel="00000000" w:rsidP="00000000" w:rsidRDefault="00000000" w:rsidRPr="00000000" w14:paraId="0000002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2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regularly monitor the credit ratings of each entity in the FDE Group with the Rating Agencies;</w:t>
      </w:r>
    </w:p>
    <w:p w:rsidR="00000000" w:rsidDel="00000000" w:rsidP="00000000" w:rsidRDefault="00000000" w:rsidRPr="00000000" w14:paraId="0000002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 and report on the Financial Indicators for each entity in the FDE Group against the Financial Target Thresholds at least at the frequency set out for each at Paragraph 5.1 (where specified) and in any event, on a regular basis and no less than once a year within ninety (90) days after the Accounting Reference Date; and</w:t>
      </w:r>
    </w:p>
    <w:p w:rsidR="00000000" w:rsidDel="00000000" w:rsidP="00000000" w:rsidRDefault="00000000" w:rsidRPr="00000000" w14:paraId="0000002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promptly notify (or shall procure that its auditors promptly notify) the Relevant Authority in writing following the occurrence of a Financial Distress Event or any fact, circumstance or matter which could cause a Financial Distress Event (and in any event, ensure that such notification is made within 10 Working Days of the date on which the Supplier first becomes aware of the Financial Distress Event or the fact, circumstance or matter which could cause a Financial Distress Event).</w:t>
      </w:r>
    </w:p>
    <w:p w:rsidR="00000000" w:rsidDel="00000000" w:rsidP="00000000" w:rsidRDefault="00000000" w:rsidRPr="00000000" w14:paraId="0000002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determining whether a Financial Distress Event has occurred pursuant to the provisions of Paragraphs 3.1, and for the purposes of determining relief under Paragraph 7.1, the credit rating of an FDE Group entity shall be deemed to have dropped below the applicable Credit Rating Threshold if any of the Rating Agencies have rated that entity at or below the applicable Credit Rating Threshold.</w:t>
      </w:r>
    </w:p>
    <w:p w:rsidR="00000000" w:rsidDel="00000000" w:rsidP="00000000" w:rsidRDefault="00000000" w:rsidRPr="00000000" w14:paraId="0000002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report submitted by the Supplier pursuant to paragraph 2.3.2 shall:</w:t>
      </w:r>
    </w:p>
    <w:p w:rsidR="00000000" w:rsidDel="00000000" w:rsidP="00000000" w:rsidRDefault="00000000" w:rsidRPr="00000000" w14:paraId="0000002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a single report with separate sections for each of the FDE Group entities;</w:t>
      </w:r>
    </w:p>
    <w:p w:rsidR="00000000" w:rsidDel="00000000" w:rsidP="00000000" w:rsidRDefault="00000000" w:rsidRPr="00000000" w14:paraId="0000002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contain a sufficient level of information to enable the Relevant Authority to verify the calculations that have been made in respect of the Financial Indicators;</w:t>
      </w:r>
    </w:p>
    <w:p w:rsidR="00000000" w:rsidDel="00000000" w:rsidP="00000000" w:rsidRDefault="00000000" w:rsidRPr="00000000" w14:paraId="0000002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key financial and other supporting information (including any accounts data that has been relied on) as separate annexes;</w:t>
      </w:r>
    </w:p>
    <w:p w:rsidR="00000000" w:rsidDel="00000000" w:rsidP="00000000" w:rsidRDefault="00000000" w:rsidRPr="00000000" w14:paraId="0000003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based on the audited accounts for the date or period on which the Financial Indicator is based or, where the Financial Indicator is not linked to an accounting period or an accounting reference date, on unaudited management accounts prepared in accordance with their normal timetable; and</w:t>
      </w:r>
    </w:p>
    <w:p w:rsidR="00000000" w:rsidDel="00000000" w:rsidP="00000000" w:rsidRDefault="00000000" w:rsidRPr="00000000" w14:paraId="0000003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a history of the Financial Indicators reported by the Supplier in graph form to enable the Relevant Authority to easily analyse and assess the trends in financial performance.</w:t>
      </w:r>
    </w:p>
    <w:p w:rsidR="00000000" w:rsidDel="00000000" w:rsidP="00000000" w:rsidRDefault="00000000" w:rsidRPr="00000000" w14:paraId="00000032">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Distress events</w:t>
      </w:r>
    </w:p>
    <w:p w:rsidR="00000000" w:rsidDel="00000000" w:rsidP="00000000" w:rsidRDefault="00000000" w:rsidRPr="00000000" w14:paraId="0000003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following shall be Financial Distress Events:</w:t>
      </w:r>
    </w:p>
    <w:p w:rsidR="00000000" w:rsidDel="00000000" w:rsidP="00000000" w:rsidRDefault="00000000" w:rsidRPr="00000000" w14:paraId="0000003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credit rating of an FDE Group entity dropping below the applicable Credit Rating Threshold;</w:t>
      </w:r>
    </w:p>
    <w:p w:rsidR="00000000" w:rsidDel="00000000" w:rsidP="00000000" w:rsidRDefault="00000000" w:rsidRPr="00000000" w14:paraId="0000003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FDE Group entity issuing a profits warning to a stock exchange or making any other public announcement, in each case about a material deterioration in its financial position or prospects;</w:t>
      </w:r>
    </w:p>
    <w:p w:rsidR="00000000" w:rsidDel="00000000" w:rsidP="00000000" w:rsidRDefault="00000000" w:rsidRPr="00000000" w14:paraId="0000003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being a public investigation into improper financial accounting and reporting, suspected fraud or any other impropriety of an FDE Group entity;</w:t>
      </w:r>
    </w:p>
    <w:p w:rsidR="00000000" w:rsidDel="00000000" w:rsidP="00000000" w:rsidRDefault="00000000" w:rsidRPr="00000000" w14:paraId="0000003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FDE Group entity committing a material breach of covenant to its lenders;</w:t>
      </w:r>
    </w:p>
    <w:p w:rsidR="00000000" w:rsidDel="00000000" w:rsidP="00000000" w:rsidRDefault="00000000" w:rsidRPr="00000000" w14:paraId="0000003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Key Sub-contractor notifying CCS or the Buyer that the Supplier has not satisfied any material sums properly due under a specified invoice and not subject to a genuine dispute;</w:t>
      </w:r>
    </w:p>
    <w:p w:rsidR="00000000" w:rsidDel="00000000" w:rsidP="00000000" w:rsidRDefault="00000000" w:rsidRPr="00000000" w14:paraId="0000003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of the following:</w:t>
      </w:r>
    </w:p>
    <w:p w:rsidR="00000000" w:rsidDel="00000000" w:rsidP="00000000" w:rsidRDefault="00000000" w:rsidRPr="00000000" w14:paraId="0000003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commencement of any litigation against an FDE Group entity with respect to financial indebtedness greater than £5m or obligations under a service contract with a total contract value greater than £5m; </w:t>
      </w:r>
    </w:p>
    <w:p w:rsidR="00000000" w:rsidDel="00000000" w:rsidP="00000000" w:rsidRDefault="00000000" w:rsidRPr="00000000" w14:paraId="0000003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non-payment by an FDE Group entity of any financial indebtedness;</w:t>
      </w:r>
    </w:p>
    <w:p w:rsidR="00000000" w:rsidDel="00000000" w:rsidP="00000000" w:rsidRDefault="00000000" w:rsidRPr="00000000" w14:paraId="0000003C">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financial indebtedness of an FDE Group entity becoming due as a result of an event of default;</w:t>
      </w:r>
    </w:p>
    <w:p w:rsidR="00000000" w:rsidDel="00000000" w:rsidP="00000000" w:rsidRDefault="00000000" w:rsidRPr="00000000" w14:paraId="0000003D">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cancellation or suspension of any financial indebtedness in respect of an FDE Group entity; or</w:t>
      </w:r>
    </w:p>
    <w:p w:rsidR="00000000" w:rsidDel="00000000" w:rsidP="00000000" w:rsidRDefault="00000000" w:rsidRPr="00000000" w14:paraId="0000003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external auditor of an FDE Group entity expressing a qualified opinion on, or including an emphasis of matter in, its opinion on the statutory accounts of that FDE entity;</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66" w:right="0" w:hanging="93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each case which the Relevant Authority reasonably believes (or would be likely reasonably to believe) could directly impact on the continued performance and delivery of the Deliverables in accordance with the Contract; and</w:t>
      </w:r>
    </w:p>
    <w:p w:rsidR="00000000" w:rsidDel="00000000" w:rsidP="00000000" w:rsidRDefault="00000000" w:rsidRPr="00000000" w14:paraId="0000004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[one] of the Financial Indicators set out at Paragraph 5 for any of the FDE Group entities failing to meet the required Financial Target Threshold.</w:t>
      </w:r>
      <w:r w:rsidDel="00000000" w:rsidR="00000000" w:rsidRPr="00000000">
        <w:rPr>
          <w:rtl w:val="0"/>
        </w:rPr>
      </w:r>
    </w:p>
    <w:p w:rsidR="00000000" w:rsidDel="00000000" w:rsidP="00000000" w:rsidRDefault="00000000" w:rsidRPr="00000000" w14:paraId="00000041">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Consequences of Financial Distress Events</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upon notification by the Supplier of a Financial Distress Event (or if the Relevant Authority becomes aware of a Financial Distress Event without notification and brings the event to the attention of the Supplier), the Supplier shall have the obligations and the Relevant Authority shall have the rights and remedies as set out in Paragraphs 4.3 to 4.6.</w:t>
      </w:r>
    </w:p>
    <w:p w:rsidR="00000000" w:rsidDel="00000000" w:rsidP="00000000" w:rsidRDefault="00000000" w:rsidRPr="00000000" w14:paraId="0000004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a late or non-payment of a Key Sub-contractor pursuant to Paragraph 3.1.5, the Relevant Authority shall not exercise any of its rights or remedies under Paragraph 4.3 without first giving the Supplier 10 Working Days to:</w:t>
      </w:r>
    </w:p>
    <w:p w:rsidR="00000000" w:rsidDel="00000000" w:rsidP="00000000" w:rsidRDefault="00000000" w:rsidRPr="00000000" w14:paraId="0000004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rectify such late or non-payment; or</w:t>
      </w:r>
    </w:p>
    <w:p w:rsidR="00000000" w:rsidDel="00000000" w:rsidP="00000000" w:rsidRDefault="00000000" w:rsidRPr="00000000" w14:paraId="0000004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demonstrate to the Relevant Authority’s reasonable satisfaction that there is a valid reason for late or non-payment.</w:t>
      </w:r>
    </w:p>
    <w:p w:rsidR="00000000" w:rsidDel="00000000" w:rsidP="00000000" w:rsidRDefault="00000000" w:rsidRPr="00000000" w14:paraId="0000004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any Monitored Supplier, the Guarantor and/or any relevant Key Sub-contractor shall):</w:t>
      </w:r>
    </w:p>
    <w:p w:rsidR="00000000" w:rsidDel="00000000" w:rsidP="00000000" w:rsidRDefault="00000000" w:rsidRPr="00000000" w14:paraId="0000004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request of the Relevant Authority, meet the Relevant Authority as soon as reasonably practicable (and in any event within 3 Working Days of the initial notification (or awareness) of the Financial Distress Event or such other period as the Relevant Authority may permit and notify to the Supplier in writing) to review the effect of the Financial Distress Event on the continued performance and delivery of the Services in accordance with the Contract; and</w:t>
      </w:r>
    </w:p>
    <w:p w:rsidR="00000000" w:rsidDel="00000000" w:rsidP="00000000" w:rsidRDefault="00000000" w:rsidRPr="00000000" w14:paraId="0000004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Relevant Authority reasonably believes (taking into account the discussions and any representations made under Paragraph 4.3.1 that the Financial Distress Event could impact on the continued performance and delivery of the Deliverables in accordance with the Contract:</w:t>
      </w:r>
    </w:p>
    <w:p w:rsidR="00000000" w:rsidDel="00000000" w:rsidP="00000000" w:rsidRDefault="00000000" w:rsidRPr="00000000" w14:paraId="0000004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submit to the Relevant Authority for its approval, a draft Financial Distress Remediation Plan as soon as reasonably practicable (and in any event, within 10 Working Days of the initial notification (or awareness) of the Financial Distress Event or such other period as the Relevant Authority may permit and notify to the Supplier in writing); and</w:t>
      </w:r>
    </w:p>
    <w:p w:rsidR="00000000" w:rsidDel="00000000" w:rsidP="00000000" w:rsidRDefault="00000000" w:rsidRPr="00000000" w14:paraId="0000004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extent that it is legally permitted to do so and subject to Paragraph 4.8, provide such information relating to the Supplier, any Monitored Supplier, Key Sub-contractors and/or the Guarantor as the Buyer may reasonably require in order to understand the risk to the Deliverables, which may include forecasts in relation to cash flow, orders and profits and details of financial measures being considered to mitigate the impact of the Financial Distress Event.</w:t>
      </w:r>
    </w:p>
    <w:p w:rsidR="00000000" w:rsidDel="00000000" w:rsidP="00000000" w:rsidRDefault="00000000" w:rsidRPr="00000000" w14:paraId="0000004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shall not withhold its approval of a draft Financial Distress Remediation Plan unreasonably. If the Relevant Authority does not approve the draft Financial Distress Remediation Plan, it shall inform the Supplier of its reasons and the Supplier shall take those reasons into account in the preparation of a further draft Financial Distress Remediation Plan, which shall be resubmitted to the Relevant Authority within 5 Working Days of the rejection of the first draft. This process shall be repeated until the Financial Distress Remediation Plan is approved by the Relevant Authority or referred to the Dispute Resolution Procedure set out in Clause 34 of the Core Terms under Paragraph 4.5.</w:t>
      </w:r>
    </w:p>
    <w:p w:rsidR="00000000" w:rsidDel="00000000" w:rsidP="00000000" w:rsidRDefault="00000000" w:rsidRPr="00000000" w14:paraId="0000004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Relevant Authority considers that the draft Financial Distress Remediation Plan is insufficiently detailed to be properly evaluated, will take too long to complete or will not ensure the continued performance of the Supplier’s obligations in accordance with the Contract, then it may either agree a further time period for the development and agreement of the Financial Distress Remediation Plan or escalate any issues with the draft Financial Distress Remediation Plan using the Dispute Resolution Procedure in Clause 34 of the Core Terms.</w:t>
      </w:r>
    </w:p>
    <w:p w:rsidR="00000000" w:rsidDel="00000000" w:rsidP="00000000" w:rsidRDefault="00000000" w:rsidRPr="00000000" w14:paraId="0000004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approval of the Financial Distress Remediation Plan by the Relevant Authority, the Supplier shall:</w:t>
      </w:r>
    </w:p>
    <w:p w:rsidR="00000000" w:rsidDel="00000000" w:rsidP="00000000" w:rsidRDefault="00000000" w:rsidRPr="00000000" w14:paraId="0000004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a regular basis (which shall not be less than fortnightly):</w:t>
      </w:r>
    </w:p>
    <w:p w:rsidR="00000000" w:rsidDel="00000000" w:rsidP="00000000" w:rsidRDefault="00000000" w:rsidRPr="00000000" w14:paraId="0000004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and make any updates to the Financial Distress Remediation Plan as the Supplier may deem reasonably necessary and/or as may be reasonably requested by the Relevant Authority, so that the plan remains adequate, up to date and ensures the continued performance and delivery of the Deliverables in accordance with this Contract; and</w:t>
      </w:r>
    </w:p>
    <w:p w:rsidR="00000000" w:rsidDel="00000000" w:rsidP="00000000" w:rsidRDefault="00000000" w:rsidRPr="00000000" w14:paraId="0000005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 written report to the Relevant Authority setting out its progress against the Financial Distress Remediation Plan, the reasons for any changes made to the Financial Distress Remediation Plan by the Supplier and/or the reasons why the Supplier may have decided not to make any changes;</w:t>
      </w:r>
    </w:p>
    <w:p w:rsidR="00000000" w:rsidDel="00000000" w:rsidP="00000000" w:rsidRDefault="00000000" w:rsidRPr="00000000" w14:paraId="0000005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updates are made to the Financial Distress Remediation Plan in accordance with Paragraph 4.6.1, submit an updated Financial Distress Remediation Plan to the Relevant Authority for its approval, and the provisions of Paragraphs 4.4 and 4.5 shall apply to the review and approval process for the updated Financial Distress Remediation Plan; and</w:t>
      </w:r>
    </w:p>
    <w:p w:rsidR="00000000" w:rsidDel="00000000" w:rsidP="00000000" w:rsidRDefault="00000000" w:rsidRPr="00000000" w14:paraId="0000005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Financial Distress Remediation Plan (including any updated Financial Distress Remediation Plan) and ensure that it achieves the financial and performance requirements set out in the Financial Distress Remediation Plan.</w:t>
      </w:r>
    </w:p>
    <w:p w:rsidR="00000000" w:rsidDel="00000000" w:rsidP="00000000" w:rsidRDefault="00000000" w:rsidRPr="00000000" w14:paraId="0000005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reasonably believes that the relevant Financial Distress Event under Paragraph 4.1 (or the circumstance or matter which has caused or otherwise led to it) no longer exists, it shall notify the Relevant Authority and the Parties may agree that the Supplier shall be relieved of its obligations under Paragraph 4.6.</w:t>
      </w:r>
    </w:p>
    <w:p w:rsidR="00000000" w:rsidDel="00000000" w:rsidP="00000000" w:rsidRDefault="00000000" w:rsidRPr="00000000" w14:paraId="0000005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use reasonable endeavours to put in place the necessary measures to ensure that the information specified at paragraph 4.3.2(b) is available when required and on request from the Relevant Authority and within reasonable timescales. Such measures may include:</w:t>
      </w:r>
    </w:p>
    <w:p w:rsidR="00000000" w:rsidDel="00000000" w:rsidP="00000000" w:rsidRDefault="00000000" w:rsidRPr="00000000" w14:paraId="0000005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obtaining in advance written authority from Key Sub-contractors, the Guarantor and/or Monitored Suppliers authorising the disclosure of the information to the Buyer and/or entering into confidentiality agreements which permit disclosure;</w:t>
      </w:r>
    </w:p>
    <w:p w:rsidR="00000000" w:rsidDel="00000000" w:rsidP="00000000" w:rsidRDefault="00000000" w:rsidRPr="00000000" w14:paraId="0000005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agreeing in advance with the Relevant Authority, Key Sub-contractors, the Guarantor and/or Monitored Suppliers a form of confidentiality agreement to be entered by the relevant parties to enable the disclosure of the information to the Relevant Authority;</w:t>
      </w:r>
    </w:p>
    <w:p w:rsidR="00000000" w:rsidDel="00000000" w:rsidP="00000000" w:rsidRDefault="00000000" w:rsidRPr="00000000" w14:paraId="0000005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putting in place any other reasonable arrangements to enable the information to be lawfully disclosed to the Relevant Authority (which may include making price sensitive information available to the Relevant Authority’s nominated personnel through confidential arrangements, subject to their consent); and</w:t>
      </w:r>
    </w:p>
    <w:p w:rsidR="00000000" w:rsidDel="00000000" w:rsidP="00000000" w:rsidRDefault="00000000" w:rsidRPr="00000000" w14:paraId="0000005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disclosing the information to the fullest extent that it is lawfully entitled to do so, including through the use of redaction, anonymisation and any other techniques to permit disclosure of the information without breaching a duty of confidentiality.</w:t>
      </w:r>
    </w:p>
    <w:p w:rsidR="00000000" w:rsidDel="00000000" w:rsidP="00000000" w:rsidRDefault="00000000" w:rsidRPr="00000000" w14:paraId="00000059">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Indicators</w:t>
      </w:r>
    </w:p>
    <w:p w:rsidR="00000000" w:rsidDel="00000000" w:rsidP="00000000" w:rsidRDefault="00000000" w:rsidRPr="00000000" w14:paraId="0000005A">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[Buyer Guidance: The Financial Indicators set out in the table at paragraph 5.1 are  established at Framework level to satisfy Cabinet Office Contract Tiering Tool requirements. For the purposes of your call off activity you may check that the original assessment of the indicators remains valid, but you may not re-run those assessments. You may also opt to ask the Supplier to monitor themselves according to some, rather than all, of the indicators in accordance with your internal procedures but you should not introduce new indicators or amend those set out below. Please take your own legal advice if you are uncertain how to proceed.]</w:t>
      </w:r>
    </w:p>
    <w:p w:rsidR="00000000" w:rsidDel="00000000" w:rsidP="00000000" w:rsidRDefault="00000000" w:rsidRPr="00000000" w14:paraId="0000005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calculation methodology set out at Annex 3 of this Schedule, the Financial Indicators and the corresponding calculations and thresholds used to determine whether a Financial Distress Event has occurred in respect of those Financial Indicators, shall be as follows:</w:t>
      </w:r>
    </w:p>
    <w:tbl>
      <w:tblPr>
        <w:tblStyle w:val="Table2"/>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3"/>
        <w:gridCol w:w="1977"/>
        <w:gridCol w:w="1697"/>
        <w:gridCol w:w="3089"/>
        <w:tblGridChange w:id="0">
          <w:tblGrid>
            <w:gridCol w:w="2253"/>
            <w:gridCol w:w="1977"/>
            <w:gridCol w:w="1697"/>
            <w:gridCol w:w="3089"/>
          </w:tblGrid>
        </w:tblGridChange>
      </w:tblGrid>
      <w:tr>
        <w:trPr>
          <w:cantSplit w:val="0"/>
          <w:tblHeader w:val="0"/>
        </w:trPr>
        <w:tc>
          <w:tcPr>
            <w:shd w:fill="d9d9d9" w:val="clear"/>
            <w:vAlign w:val="cente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Indicator</w:t>
            </w:r>
          </w:p>
        </w:tc>
        <w:tc>
          <w:tcPr>
            <w:shd w:fill="d9d9d9" w:val="clear"/>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Calculation</w:t>
            </w:r>
            <w:r w:rsidDel="00000000" w:rsidR="00000000" w:rsidRPr="00000000">
              <w:rPr>
                <w:rFonts w:ascii="Arial" w:cs="Arial" w:eastAsia="Arial" w:hAnsi="Arial"/>
                <w:b w:val="1"/>
                <w:i w:val="0"/>
                <w:smallCaps w:val="0"/>
                <w:strike w:val="0"/>
                <w:color w:val="000000"/>
                <w:sz w:val="24"/>
                <w:szCs w:val="24"/>
                <w:u w:val="none"/>
                <w:shd w:fill="auto" w:val="clear"/>
                <w:vertAlign w:val="superscript"/>
                <w:rtl w:val="0"/>
              </w:rPr>
              <w:t xml:space="preserve">1</w:t>
            </w:r>
            <w:r w:rsidDel="00000000" w:rsidR="00000000" w:rsidRPr="00000000">
              <w:rPr>
                <w:rtl w:val="0"/>
              </w:rPr>
            </w:r>
          </w:p>
        </w:tc>
        <w:tc>
          <w:tcPr>
            <w:shd w:fill="d9d9d9" w:val="clear"/>
            <w:vAlign w:val="cente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Target Threshold:</w:t>
            </w:r>
          </w:p>
        </w:tc>
        <w:tc>
          <w:tcPr>
            <w:shd w:fill="d9d9d9" w:val="clear"/>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Monitoring and Reporting Frequency </w:t>
            </w:r>
          </w:p>
        </w:tc>
      </w:tr>
      <w:tr>
        <w:trPr>
          <w:cantSplit w:val="0"/>
          <w:tblHeader w:val="0"/>
        </w:trPr>
        <w:tc>
          <w:tcPr>
            <w:vAlign w:val="cente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1</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[Operating Margin]</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tl w:val="0"/>
              </w:rPr>
            </w:r>
          </w:p>
        </w:tc>
        <w:tc>
          <w:tcPr>
            <w:vAlign w:val="cente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[Operating Margin = Operating Profit / Revenue]</w:t>
            </w:r>
            <w:r w:rsidDel="00000000" w:rsidR="00000000" w:rsidRPr="00000000">
              <w:rPr>
                <w:rtl w:val="0"/>
              </w:rPr>
            </w:r>
          </w:p>
        </w:tc>
        <w:tc>
          <w:tcPr>
            <w:vAlign w:val="cente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&gt; </w:t>
            </w:r>
            <w:r w:rsidDel="00000000" w:rsidR="00000000" w:rsidRPr="00000000">
              <w:rPr>
                <w:rFonts w:ascii="Arial" w:cs="Arial" w:eastAsia="Arial" w:hAnsi="Arial"/>
                <w:i w:val="1"/>
                <w:sz w:val="24"/>
                <w:szCs w:val="24"/>
                <w:rtl w:val="0"/>
              </w:rPr>
              <w:t xml:space="preserve">2</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w:t>
            </w:r>
          </w:p>
        </w:tc>
        <w:tc>
          <w:tcPr>
            <w:vAlign w:val="cente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Tested and reported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yearly</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 in arrears within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 90</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 days of each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accounting reference date</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 based upon figures for the 12 months ending on the relevant</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accounting reference date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7030a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2</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[Net Debt to EBITDA Ratio]</w:t>
            </w:r>
            <w:r w:rsidDel="00000000" w:rsidR="00000000" w:rsidRPr="00000000">
              <w:rPr>
                <w:rtl w:val="0"/>
              </w:rPr>
            </w:r>
          </w:p>
        </w:tc>
        <w:tc>
          <w:tcPr>
            <w:vAlign w:val="cente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7030a0"/>
                <w:sz w:val="24"/>
                <w:szCs w:val="24"/>
                <w:u w:val="none"/>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[Net Debt to EBITDA ratio = Net Debt / EBITDA]</w:t>
            </w:r>
            <w:r w:rsidDel="00000000" w:rsidR="00000000" w:rsidRPr="00000000">
              <w:rPr>
                <w:rtl w:val="0"/>
              </w:rPr>
            </w:r>
          </w:p>
        </w:tc>
        <w:tc>
          <w:tcPr>
            <w:vAlign w:val="cente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&lt; </w:t>
            </w:r>
            <w:r w:rsidDel="00000000" w:rsidR="00000000" w:rsidRPr="00000000">
              <w:rPr>
                <w:rFonts w:ascii="Arial" w:cs="Arial" w:eastAsia="Arial" w:hAnsi="Arial"/>
                <w:i w:val="1"/>
                <w:sz w:val="24"/>
                <w:szCs w:val="24"/>
                <w:rtl w:val="0"/>
              </w:rPr>
              <w:t xml:space="preserve">3.5</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 times</w:t>
            </w:r>
          </w:p>
        </w:tc>
        <w:tc>
          <w:tcPr>
            <w:vAlign w:val="cente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Tested and reported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yearly</w:t>
            </w:r>
            <w:r w:rsidDel="00000000" w:rsidR="00000000" w:rsidRPr="00000000">
              <w:rPr>
                <w:rFonts w:ascii="Arial" w:cs="Arial" w:eastAsia="Arial" w:hAnsi="Arial"/>
                <w:b w:val="0"/>
                <w:i w:val="1"/>
                <w:smallCaps w:val="0"/>
                <w:strike w:val="0"/>
                <w:color w:val="7030a0"/>
                <w:sz w:val="24"/>
                <w:szCs w:val="24"/>
                <w:u w:val="none"/>
                <w:vertAlign w:val="baseline"/>
                <w:rtl w:val="0"/>
              </w:rPr>
              <w:t xml:space="preserve">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in arrears within</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90</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 days of each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accounting reference date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based upon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EBITDA</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for the 12 months ending on, and Net Debt at, the relevant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accounting reference date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3</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[Net Debt + Net Pension Deficit to EBITDA ratio]</w:t>
            </w:r>
            <w:r w:rsidDel="00000000" w:rsidR="00000000" w:rsidRPr="00000000">
              <w:rPr>
                <w:rtl w:val="0"/>
              </w:rPr>
            </w:r>
          </w:p>
        </w:tc>
        <w:tc>
          <w:tcPr>
            <w:vAlign w:val="cente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[Net Debt + Net Pension Deficit to EBITDA Ratio = (Net Debt + Net Pension Deficit) / EBITDA]</w:t>
            </w:r>
            <w:r w:rsidDel="00000000" w:rsidR="00000000" w:rsidRPr="00000000">
              <w:rPr>
                <w:rtl w:val="0"/>
              </w:rPr>
            </w:r>
          </w:p>
        </w:tc>
        <w:tc>
          <w:tcPr>
            <w:vAlign w:val="cente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&lt; </w:t>
            </w:r>
            <w:r w:rsidDel="00000000" w:rsidR="00000000" w:rsidRPr="00000000">
              <w:rPr>
                <w:rFonts w:ascii="Arial" w:cs="Arial" w:eastAsia="Arial" w:hAnsi="Arial"/>
                <w:i w:val="1"/>
                <w:sz w:val="24"/>
                <w:szCs w:val="24"/>
                <w:rtl w:val="0"/>
              </w:rPr>
              <w:t xml:space="preserve">5</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times</w:t>
            </w:r>
          </w:p>
        </w:tc>
        <w:tc>
          <w:tcPr>
            <w:vAlign w:val="cente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Tested and reported yearly in arrears within </w:t>
            </w:r>
            <w:r w:rsidDel="00000000" w:rsidR="00000000" w:rsidRPr="00000000">
              <w:rPr>
                <w:rFonts w:ascii="Arial" w:cs="Arial" w:eastAsia="Arial" w:hAnsi="Arial"/>
                <w:b w:val="0"/>
                <w:i w:val="1"/>
                <w:smallCaps w:val="0"/>
                <w:strike w:val="0"/>
                <w:sz w:val="24"/>
                <w:szCs w:val="24"/>
                <w:u w:val="none"/>
                <w:shd w:fill="auto" w:val="clear"/>
                <w:vertAlign w:val="baseline"/>
                <w:rtl w:val="0"/>
              </w:rPr>
              <w:t xml:space="preserve">90</w:t>
            </w:r>
            <w:r w:rsidDel="00000000" w:rsidR="00000000" w:rsidRPr="00000000">
              <w:rPr>
                <w:rFonts w:ascii="Arial" w:cs="Arial" w:eastAsia="Arial" w:hAnsi="Arial"/>
                <w:b w:val="0"/>
                <w:i w:val="1"/>
                <w:smallCaps w:val="0"/>
                <w:strike w:val="0"/>
                <w:color w:val="f79646"/>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days of each accounting reference date based upon EBITDA for the 12 months ending on, and the Net Debt and Net Pension Deficit at, the relevant accounting reference date</w:t>
            </w:r>
          </w:p>
        </w:tc>
      </w:tr>
      <w:tr>
        <w:trPr>
          <w:cantSplit w:val="0"/>
          <w:tblHeader w:val="0"/>
        </w:trPr>
        <w:tc>
          <w:tcPr>
            <w:vAlign w:val="cente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4</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[Net Interest Paid Cover]</w:t>
            </w:r>
            <w:r w:rsidDel="00000000" w:rsidR="00000000" w:rsidRPr="00000000">
              <w:rPr>
                <w:rtl w:val="0"/>
              </w:rPr>
            </w:r>
          </w:p>
        </w:tc>
        <w:tc>
          <w:tcPr>
            <w:vAlign w:val="cente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[Net Interest Paid Cover = Earnings Before Interest and Tax / Net Interest Paid]</w:t>
            </w:r>
          </w:p>
        </w:tc>
        <w:tc>
          <w:tcPr>
            <w:vAlign w:val="cente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&gt; </w:t>
            </w:r>
            <w:r w:rsidDel="00000000" w:rsidR="00000000" w:rsidRPr="00000000">
              <w:rPr>
                <w:rFonts w:ascii="Arial" w:cs="Arial" w:eastAsia="Arial" w:hAnsi="Arial"/>
                <w:i w:val="1"/>
                <w:sz w:val="24"/>
                <w:szCs w:val="24"/>
                <w:rtl w:val="0"/>
              </w:rPr>
              <w:t xml:space="preserve">2</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 times</w:t>
            </w:r>
          </w:p>
        </w:tc>
        <w:tc>
          <w:tcPr>
            <w:vAlign w:val="cente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Tested and reported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yearly</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in arrears within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90</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 days of each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accounting reference date</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based upon figures for the 12 months ending on the relevant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accounting reference date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5</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[Acid Ratio]</w:t>
            </w:r>
            <w:r w:rsidDel="00000000" w:rsidR="00000000" w:rsidRPr="00000000">
              <w:rPr>
                <w:rtl w:val="0"/>
              </w:rPr>
            </w:r>
          </w:p>
        </w:tc>
        <w:tc>
          <w:tcPr>
            <w:vAlign w:val="cente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[Acid Ratio = (Current Assets – Inventories) / Current Liabilities]</w:t>
            </w:r>
            <w:r w:rsidDel="00000000" w:rsidR="00000000" w:rsidRPr="00000000">
              <w:rPr>
                <w:rtl w:val="0"/>
              </w:rPr>
            </w:r>
          </w:p>
        </w:tc>
        <w:tc>
          <w:tcPr>
            <w:vAlign w:val="cente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[&gt; </w:t>
            </w:r>
            <w:r w:rsidDel="00000000" w:rsidR="00000000" w:rsidRPr="00000000">
              <w:rPr>
                <w:rFonts w:ascii="Arial" w:cs="Arial" w:eastAsia="Arial" w:hAnsi="Arial"/>
                <w:i w:val="1"/>
                <w:sz w:val="24"/>
                <w:szCs w:val="24"/>
                <w:rtl w:val="0"/>
              </w:rPr>
              <w:t xml:space="preserve">1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times</w:t>
            </w:r>
          </w:p>
        </w:tc>
        <w:tc>
          <w:tcPr>
            <w:vAlign w:val="cente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Tested and reported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yearly</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in arrears within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90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days of each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accounting reference date</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based upon figures at the relevant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accounting reference date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6</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[Net Asset value]</w:t>
            </w:r>
            <w:r w:rsidDel="00000000" w:rsidR="00000000" w:rsidRPr="00000000">
              <w:rPr>
                <w:rtl w:val="0"/>
              </w:rPr>
            </w:r>
          </w:p>
        </w:tc>
        <w:tc>
          <w:tcPr>
            <w:vAlign w:val="cente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[Net Asset Value = Net Assets]</w:t>
            </w:r>
            <w:r w:rsidDel="00000000" w:rsidR="00000000" w:rsidRPr="00000000">
              <w:rPr>
                <w:rtl w:val="0"/>
              </w:rPr>
            </w:r>
          </w:p>
        </w:tc>
        <w:tc>
          <w:tcPr>
            <w:vAlign w:val="cente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[&gt; £0]</w:t>
            </w:r>
            <w:r w:rsidDel="00000000" w:rsidR="00000000" w:rsidRPr="00000000">
              <w:rPr>
                <w:rtl w:val="0"/>
              </w:rPr>
            </w:r>
          </w:p>
        </w:tc>
        <w:tc>
          <w:tcPr>
            <w:vAlign w:val="cente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Tested and reported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yearly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in arrears within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90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days of each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accounting reference date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based upon figures at the relevant </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accounting reference date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7</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[Group Exposure Ratio]</w:t>
            </w:r>
            <w:r w:rsidDel="00000000" w:rsidR="00000000" w:rsidRPr="00000000">
              <w:rPr>
                <w:rtl w:val="0"/>
              </w:rPr>
            </w:r>
          </w:p>
        </w:tc>
        <w:tc>
          <w:tcPr>
            <w:vAlign w:val="cente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[Group Exposure / Gross Assets]</w:t>
            </w:r>
            <w:r w:rsidDel="00000000" w:rsidR="00000000" w:rsidRPr="00000000">
              <w:rPr>
                <w:rtl w:val="0"/>
              </w:rPr>
            </w:r>
          </w:p>
        </w:tc>
        <w:tc>
          <w:tcPr>
            <w:vAlign w:val="cente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vertAlign w:val="baseline"/>
              </w:rPr>
            </w:pPr>
            <w:r w:rsidDel="00000000" w:rsidR="00000000" w:rsidRPr="00000000">
              <w:rPr>
                <w:rFonts w:ascii="Arial" w:cs="Arial" w:eastAsia="Arial" w:hAnsi="Arial"/>
                <w:b w:val="0"/>
                <w:i w:val="1"/>
                <w:smallCaps w:val="0"/>
                <w:strike w:val="0"/>
                <w:color w:val="000000"/>
                <w:sz w:val="24"/>
                <w:szCs w:val="24"/>
                <w:u w:val="none"/>
                <w:vertAlign w:val="baseline"/>
                <w:rtl w:val="0"/>
              </w:rPr>
              <w:t xml:space="preserve">&lt; </w:t>
            </w:r>
            <w:r w:rsidDel="00000000" w:rsidR="00000000" w:rsidRPr="00000000">
              <w:rPr>
                <w:rFonts w:ascii="Arial" w:cs="Arial" w:eastAsia="Arial" w:hAnsi="Arial"/>
                <w:i w:val="1"/>
                <w:sz w:val="24"/>
                <w:szCs w:val="24"/>
                <w:rtl w:val="0"/>
              </w:rPr>
              <w:t xml:space="preserve">50</w:t>
            </w:r>
            <w:r w:rsidDel="00000000" w:rsidR="00000000" w:rsidRPr="00000000">
              <w:rPr>
                <w:rFonts w:ascii="Arial" w:cs="Arial" w:eastAsia="Arial" w:hAnsi="Arial"/>
                <w:b w:val="0"/>
                <w:i w:val="1"/>
                <w:smallCaps w:val="0"/>
                <w:strike w:val="0"/>
                <w:color w:val="000000"/>
                <w:sz w:val="24"/>
                <w:szCs w:val="24"/>
                <w:u w:val="none"/>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center"/>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Tested and reported yearly in arrears within 90 days of each accounting reference date based upon figures at the relevant accounting reference date</w:t>
            </w:r>
          </w:p>
        </w:tc>
      </w:tr>
    </w:tbl>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both"/>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Key: 1 – see Annex 3 to this Schedule which sets out the calculation methodology to be used in the calculation of each financial indicator.</w:t>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Monitored Suppliers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[Guidance: Insert details of any other entities which the Supplier is required to monitor against the Financial Indicators. These are in addition to the Supplier’s monitoring of itself, the Guarantor and the Key Sub-contractors. Not all the Financial Indicators may be applicable to a Monitored Supplier, so indicate which of those are to apply in the table below]</w:t>
      </w:r>
      <w:r w:rsidDel="00000000" w:rsidR="00000000" w:rsidRPr="00000000">
        <w:rPr>
          <w:rtl w:val="0"/>
        </w:rPr>
      </w:r>
    </w:p>
    <w:tbl>
      <w:tblPr>
        <w:tblStyle w:val="Table3"/>
        <w:tblW w:w="829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73"/>
        <w:gridCol w:w="4223"/>
        <w:tblGridChange w:id="0">
          <w:tblGrid>
            <w:gridCol w:w="4073"/>
            <w:gridCol w:w="4223"/>
          </w:tblGrid>
        </w:tblGridChange>
      </w:tblGrid>
      <w:tr>
        <w:trPr>
          <w:cantSplit w:val="0"/>
          <w:tblHeader w:val="0"/>
        </w:trPr>
        <w:tc>
          <w:tcPr>
            <w:shd w:fill="d9d9d9" w:val="cle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Monitored Supplier</w:t>
            </w:r>
          </w:p>
        </w:tc>
        <w:tc>
          <w:tcPr>
            <w:shd w:fill="d9d9d9" w:val="clea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Applicable Financial Indicators</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(these are the Financial Indicators from the table in Paragraph 5.1 which are to apply to the Monitored Suppliers)</w:t>
            </w:r>
          </w:p>
        </w:tc>
      </w:tr>
      <w:tr>
        <w:trPr>
          <w:cantSplit w:val="0"/>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[Entity 1 e.g Group Member, Sub-contractor, Relevant Parent Company etc.] </w:t>
            </w:r>
            <w:r w:rsidDel="00000000" w:rsidR="00000000" w:rsidRPr="00000000">
              <w:rPr>
                <w:rtl w:val="0"/>
              </w:rPr>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[1 – Operating Margin]</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 – etc..]</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[3][4][5][6][7][8][etc..]</w:t>
            </w:r>
            <w:r w:rsidDel="00000000" w:rsidR="00000000" w:rsidRPr="00000000">
              <w:rPr>
                <w:rtl w:val="0"/>
              </w:rPr>
            </w:r>
          </w:p>
        </w:tc>
      </w:tr>
      <w:tr>
        <w:trPr>
          <w:cantSplit w:val="0"/>
          <w:tblHeader w:val="0"/>
        </w:trPr>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[Entity 2 e.g Group Member, Sub-contractor, Relevant Parent Company etc.]</w:t>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[1 – Operating Margin]</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 – etc.]</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[3][4][5][6][7][8][etc..]</w:t>
            </w:r>
          </w:p>
        </w:tc>
      </w:tr>
      <w:tr>
        <w:trPr>
          <w:cantSplit w:val="0"/>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[etc.]</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[etc.]</w:t>
            </w:r>
          </w:p>
        </w:tc>
      </w:tr>
    </w:tb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576"/>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rights</w:t>
      </w:r>
    </w:p>
    <w:p w:rsidR="00000000" w:rsidDel="00000000" w:rsidP="00000000" w:rsidRDefault="00000000" w:rsidRPr="00000000" w14:paraId="0000009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shall be entitled to terminate the Contract if:</w:t>
      </w:r>
    </w:p>
    <w:p w:rsidR="00000000" w:rsidDel="00000000" w:rsidP="00000000" w:rsidRDefault="00000000" w:rsidRPr="00000000" w14:paraId="0000009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fails to notify the Relevant Authority of a Financial Distress Event in accordance with Paragraph 2.3.3;</w:t>
      </w:r>
    </w:p>
    <w:p w:rsidR="00000000" w:rsidDel="00000000" w:rsidP="00000000" w:rsidRDefault="00000000" w:rsidRPr="00000000" w14:paraId="0000009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fail to agree a Financial Distress Remediation Plan (or any updated Financial Distress Remediation Plan) in accordance with Paragraphs 4.3 to 4.5; and/or</w:t>
      </w:r>
    </w:p>
    <w:p w:rsidR="00000000" w:rsidDel="00000000" w:rsidP="00000000" w:rsidRDefault="00000000" w:rsidRPr="00000000" w14:paraId="0000009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fails to comply with the terms of the Financial Distress Remediation Plan (or any updated Financial Distress Remediation Plan) in accordance with Paragraph 4.6.3,</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56"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which shall be deemed to be an event to which Clause 10.4.1 of the Core Terms applies and Clauses 10.6.1 and 10.6.2 of the Core Terms shall apply accordingly.</w:t>
      </w:r>
    </w:p>
    <w:p w:rsidR="00000000" w:rsidDel="00000000" w:rsidP="00000000" w:rsidRDefault="00000000" w:rsidRPr="00000000" w14:paraId="0000009E">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Primacy of Credit Ratings</w:t>
      </w:r>
    </w:p>
    <w:p w:rsidR="00000000" w:rsidDel="00000000" w:rsidP="00000000" w:rsidRDefault="00000000" w:rsidRPr="00000000" w14:paraId="0000009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Supplier’s obligations and the Relevant Authority’s rights and remedies under Paragraph 2, if, following the occurrence of a Financial Distress Event pursuant to any of Paragraphs 3.1.2 to 3.1.7, the Rating Agencies review and report subsequently that the credit ratings for the FDE Group entities do not drop below the relevant Credit Rating Thresholds specified for those entities in Annex 2 to this Schedule, then:</w:t>
      </w:r>
    </w:p>
    <w:p w:rsidR="00000000" w:rsidDel="00000000" w:rsidP="00000000" w:rsidRDefault="00000000" w:rsidRPr="00000000" w14:paraId="000000A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relieved automatically of its obligations under Paragraphs 4.3 to 4.6; and</w:t>
      </w:r>
    </w:p>
    <w:p w:rsidR="00000000" w:rsidDel="00000000" w:rsidP="00000000" w:rsidRDefault="00000000" w:rsidRPr="00000000" w14:paraId="000000A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Authority shall not be entitled to require the Supplier to provide financial information in accordance with Paragraph 4.3.2(b).</w:t>
      </w:r>
    </w:p>
    <w:p w:rsidR="00000000" w:rsidDel="00000000" w:rsidP="00000000" w:rsidRDefault="00000000" w:rsidRPr="00000000" w14:paraId="000000A2">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Board confirmation</w:t>
      </w:r>
    </w:p>
    <w:p w:rsidR="00000000" w:rsidDel="00000000" w:rsidP="00000000" w:rsidRDefault="00000000" w:rsidRPr="00000000" w14:paraId="000000A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Contract has been specified as a Critical Service Contract under Paragraph 1.1 of Order Schedule 24 (Corporate Resolution Planning)(if applicable) then, subject to Paragraph 8.4 of this Schedule, the Supplier shall within ninety (90) days after each Accounting Reference Date or within 15 months of the previous Board Confirmation (whichever is the earlier) provide a Board Confirmation to the Relevant Authority in the form set out at Annex 4 to this Schedule, confirming that to the best of the Board’s knowledge and belief, it is not aware of and has no knowledge:</w:t>
      </w:r>
    </w:p>
    <w:p w:rsidR="00000000" w:rsidDel="00000000" w:rsidP="00000000" w:rsidRDefault="00000000" w:rsidRPr="00000000" w14:paraId="000000A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a Financial Distress Event has occurred since the later of the Effective Date or the previous Board Confirmation or is subsisting; or</w:t>
      </w:r>
    </w:p>
    <w:p w:rsidR="00000000" w:rsidDel="00000000" w:rsidP="00000000" w:rsidRDefault="00000000" w:rsidRPr="00000000" w14:paraId="000000A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any matters which have occurred or are subsisting that could reasonably be expected to cause a Financial Distress Event.</w:t>
      </w:r>
    </w:p>
    <w:p w:rsidR="00000000" w:rsidDel="00000000" w:rsidP="00000000" w:rsidRDefault="00000000" w:rsidRPr="00000000" w14:paraId="000000A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in its preparation of the Board Confirmation it exercises due care and diligence and has made reasonable enquiry of all relevant Supplier Staff and other persons as is reasonably necessary to understand and confirm the position.</w:t>
      </w:r>
    </w:p>
    <w:p w:rsidR="00000000" w:rsidDel="00000000" w:rsidP="00000000" w:rsidRDefault="00000000" w:rsidRPr="00000000" w14:paraId="000000A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the first Board Confirmation to be provided under this Contract, the Supplier shall provide the Board Confirmation within 15 months of the Effective Date if earlier than the timescale for submission set out in Paragraph 8.1 of this Schedule.</w:t>
      </w:r>
    </w:p>
    <w:p w:rsidR="00000000" w:rsidDel="00000000" w:rsidP="00000000" w:rsidRDefault="00000000" w:rsidRPr="00000000" w14:paraId="000000A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is unable to provide a Board Confirmation in accordance with Paragraphs 8.1 to 8.3 of this Schedule due to the occurrence of a Financial Distress Event or knowledge of subsisting matters which could reasonably be expected to cause a Financial Distress Event, it will be sufficient for the Supplier to submit in place of the Board Confirmation, a statement from the Board of Directors to the Buyer (and where the Supplier is a Strategic Supplier, the Supplier shall send a copy of the statement to the Cabinet Office Markets and Suppliers Team) setting out full details of any Financial Distress Events that have occurred and/or the matters which could reasonably be expected to cause a Financial Distress Event.</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spacing w:after="200" w:line="276" w:lineRule="auto"/>
        <w:jc w:val="left"/>
        <w:rPr>
          <w:rFonts w:ascii="Arial" w:cs="Arial" w:eastAsia="Arial" w:hAnsi="Arial"/>
          <w:b w:val="1"/>
          <w:sz w:val="24"/>
          <w:szCs w:val="24"/>
        </w:rPr>
      </w:pPr>
      <w:r w:rsidDel="00000000" w:rsidR="00000000" w:rsidRPr="00000000">
        <w:br w:type="page"/>
      </w:r>
      <w:r w:rsidDel="00000000" w:rsidR="00000000" w:rsidRPr="00000000">
        <w:rPr>
          <w:rFonts w:ascii="Arial" w:cs="Arial" w:eastAsia="Arial" w:hAnsi="Arial"/>
          <w:b w:val="1"/>
          <w:sz w:val="24"/>
          <w:szCs w:val="24"/>
          <w:rtl w:val="0"/>
        </w:rPr>
        <w:t xml:space="preserve">Annex 1: Rating Agencies and their standard Rating System</w:t>
      </w:r>
    </w:p>
    <w:p w:rsidR="00000000" w:rsidDel="00000000" w:rsidP="00000000" w:rsidRDefault="00000000" w:rsidRPr="00000000" w14:paraId="000000A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[Dun and Bradsheet (D&amp;B)]</w:t>
      </w:r>
      <w:r w:rsidDel="00000000" w:rsidR="00000000" w:rsidRPr="00000000">
        <w:rPr>
          <w:rtl w:val="0"/>
        </w:rPr>
      </w:r>
    </w:p>
    <w:p w:rsidR="00000000" w:rsidDel="00000000" w:rsidP="00000000" w:rsidRDefault="00000000" w:rsidRPr="00000000" w14:paraId="000000AC">
      <w:pPr>
        <w:spacing w:after="200" w:line="276"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300" w:before="100" w:line="240" w:lineRule="auto"/>
        <w:ind w:left="0" w:right="0" w:firstLine="0"/>
        <w:jc w:val="both"/>
        <w:rPr>
          <w:rFonts w:ascii="Arial" w:cs="Arial" w:eastAsia="Arial" w:hAnsi="Arial"/>
          <w:b w:val="1"/>
          <w:i w:val="0"/>
          <w:smallCaps w:val="1"/>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Annex 2</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Credit Ratings and Credit Rating Thresholds</w:t>
      </w:r>
      <w:r w:rsidDel="00000000" w:rsidR="00000000" w:rsidRPr="00000000">
        <w:rPr>
          <w:rtl w:val="0"/>
        </w:rPr>
      </w:r>
    </w:p>
    <w:tbl>
      <w:tblPr>
        <w:tblStyle w:val="Table4"/>
        <w:tblW w:w="6161.0" w:type="dxa"/>
        <w:jc w:val="lef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400"/>
      </w:tblPr>
      <w:tblGrid>
        <w:gridCol w:w="3080"/>
        <w:gridCol w:w="3081"/>
        <w:tblGridChange w:id="0">
          <w:tblGrid>
            <w:gridCol w:w="3080"/>
            <w:gridCol w:w="3081"/>
          </w:tblGrid>
        </w:tblGridChange>
      </w:tblGrid>
      <w:tr>
        <w:trPr>
          <w:cantSplit w:val="0"/>
          <w:tblHeader w:val="0"/>
        </w:trPr>
        <w:tc>
          <w:tcPr>
            <w:tcBorders>
              <w:top w:color="000000" w:space="0" w:sz="4" w:val="single"/>
            </w:tcBorders>
            <w:shd w:fill="ffffff" w:val="clear"/>
          </w:tcPr>
          <w:p w:rsidR="00000000" w:rsidDel="00000000" w:rsidP="00000000" w:rsidRDefault="00000000" w:rsidRPr="00000000" w14:paraId="000000A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Entity</w:t>
            </w:r>
          </w:p>
        </w:tc>
        <w:tc>
          <w:tcPr>
            <w:tcBorders>
              <w:top w:color="000000" w:space="0" w:sz="4" w:val="single"/>
            </w:tcBorders>
            <w:shd w:fill="ffffff" w:val="clear"/>
          </w:tcPr>
          <w:p w:rsidR="00000000" w:rsidDel="00000000" w:rsidP="00000000" w:rsidRDefault="00000000" w:rsidRPr="00000000" w14:paraId="000000A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Credit rating (long term)</w:t>
            </w:r>
          </w:p>
        </w:tc>
      </w:tr>
      <w:tr>
        <w:trPr>
          <w:cantSplit w:val="0"/>
          <w:tblHeader w:val="0"/>
        </w:trPr>
        <w:tc>
          <w:tcPr>
            <w:shd w:fill="ffffff" w:val="clear"/>
          </w:tcPr>
          <w:p w:rsidR="00000000" w:rsidDel="00000000" w:rsidP="00000000" w:rsidRDefault="00000000" w:rsidRPr="00000000" w14:paraId="000000B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w:t>
            </w:r>
          </w:p>
        </w:tc>
        <w:tc>
          <w:tcPr>
            <w:shd w:fill="ffffff" w:val="clear"/>
          </w:tcPr>
          <w:p w:rsidR="00000000" w:rsidDel="00000000" w:rsidP="00000000" w:rsidRDefault="00000000" w:rsidRPr="00000000" w14:paraId="000000B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sz w:val="24"/>
                <w:szCs w:val="24"/>
                <w:rtl w:val="0"/>
              </w:rPr>
              <w:t xml:space="preserve">D&amp;B Failure Score: </w:t>
            </w:r>
            <w:r w:rsidDel="00000000" w:rsidR="00000000" w:rsidRPr="00000000">
              <w:rPr>
                <w:rFonts w:ascii="Arial" w:cs="Arial" w:eastAsia="Arial" w:hAnsi="Arial"/>
                <w:b w:val="1"/>
                <w:sz w:val="24"/>
                <w:szCs w:val="24"/>
                <w:rtl w:val="0"/>
              </w:rPr>
              <w:t xml:space="preserve">35</w:t>
            </w: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B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[Guarantor]</w:t>
            </w:r>
            <w:r w:rsidDel="00000000" w:rsidR="00000000" w:rsidRPr="00000000">
              <w:rPr>
                <w:rtl w:val="0"/>
              </w:rPr>
            </w:r>
          </w:p>
        </w:tc>
        <w:tc>
          <w:tcPr>
            <w:shd w:fill="ffffff" w:val="clear"/>
          </w:tcPr>
          <w:p w:rsidR="00000000" w:rsidDel="00000000" w:rsidP="00000000" w:rsidRDefault="00000000" w:rsidRPr="00000000" w14:paraId="000000B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bottom w:color="000000" w:space="0" w:sz="4" w:val="single"/>
            </w:tcBorders>
            <w:shd w:fill="ffffff" w:val="clear"/>
          </w:tcPr>
          <w:p w:rsidR="00000000" w:rsidDel="00000000" w:rsidP="00000000" w:rsidRDefault="00000000" w:rsidRPr="00000000" w14:paraId="000000B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[Key Subcontractor]</w:t>
            </w:r>
          </w:p>
        </w:tc>
        <w:tc>
          <w:tcPr>
            <w:tcBorders>
              <w:bottom w:color="000000" w:space="0" w:sz="4" w:val="single"/>
            </w:tcBorders>
            <w:shd w:fill="ffffff" w:val="clear"/>
          </w:tcPr>
          <w:p w:rsidR="00000000" w:rsidDel="00000000" w:rsidP="00000000" w:rsidRDefault="00000000" w:rsidRPr="00000000" w14:paraId="000000B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7">
      <w:pPr>
        <w:spacing w:after="200" w:line="276"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Annex 3: Calculation methodology for Financial Indicators</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it uses the following general and specific methodologies for calculating the Financial Indicators against the Financial Target Thresholds:</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General methodology</w:t>
      </w:r>
    </w:p>
    <w:p w:rsidR="00000000" w:rsidDel="00000000" w:rsidP="00000000" w:rsidRDefault="00000000" w:rsidRPr="00000000" w14:paraId="000000B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Terminology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terms referred to in this Annex are those used by UK companies in their financial statements. Where the entity is not a UK company, the corresponding items should be used even if the terminology is slightly different (for example a charity would refer to a surplus or deficit rather than a profit or loss).</w:t>
      </w:r>
    </w:p>
    <w:p w:rsidR="00000000" w:rsidDel="00000000" w:rsidP="00000000" w:rsidRDefault="00000000" w:rsidRPr="00000000" w14:paraId="000000B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4"/>
      <w:bookmarkEnd w:id="4"/>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Groups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the entity is the holding company of a group and prepares consolidated financial statements, the consolidated figures should be used.</w:t>
      </w:r>
    </w:p>
    <w:p w:rsidR="00000000" w:rsidDel="00000000" w:rsidP="00000000" w:rsidRDefault="00000000" w:rsidRPr="00000000" w14:paraId="000000B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Foreign currency conversion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Figures denominated in foreign currencies should be converted at the exchange rate in force at the relevant date for which the Financial Indicator is being calculated.</w:t>
      </w:r>
    </w:p>
    <w:p w:rsidR="00000000" w:rsidDel="00000000" w:rsidP="00000000" w:rsidRDefault="00000000" w:rsidRPr="00000000" w14:paraId="000000B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Treatment of non-underlying items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Financial Indicators should be based on the figures in the financial statements before adjusting for non-underlying items.</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1"/>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Specific Methodology</w:t>
      </w:r>
    </w:p>
    <w:tbl>
      <w:tblPr>
        <w:tblStyle w:val="Table5"/>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8"/>
        <w:gridCol w:w="6478"/>
        <w:tblGridChange w:id="0">
          <w:tblGrid>
            <w:gridCol w:w="2538"/>
            <w:gridCol w:w="6478"/>
          </w:tblGrid>
        </w:tblGridChange>
      </w:tblGrid>
      <w:tr>
        <w:trPr>
          <w:cantSplit w:val="0"/>
          <w:tblHeader w:val="0"/>
        </w:trPr>
        <w:tc>
          <w:tcPr>
            <w:shd w:fill="d9d9d9" w:val="clea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Indicator</w:t>
            </w:r>
          </w:p>
        </w:tc>
        <w:tc>
          <w:tcPr>
            <w:shd w:fill="d9d9d9" w:val="clea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Specific Methodology</w:t>
            </w:r>
          </w:p>
        </w:tc>
      </w:tr>
      <w:tr>
        <w:trPr>
          <w:cantSplit w:val="0"/>
          <w:tblHeader w:val="0"/>
        </w:trPr>
        <w:tc>
          <w:tcPr>
            <w:vAlign w:val="cente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Operating Margin</w:t>
            </w:r>
          </w:p>
        </w:tc>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elements used to calculate the Operating Margin should be shown on the face of the Income Statement in a standard set of financial statements.</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Figures for Operating Profit and Revenue should exclude the entity’s share of the results of any joint ventures or Associates.</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 entity has an operating loss (i.e. where the operating profit is negative), Operating Profit should be taken to be zero.</w:t>
            </w:r>
          </w:p>
        </w:tc>
      </w:tr>
      <w:tr>
        <w:trPr>
          <w:cantSplit w:val="0"/>
          <w:tblHeader w:val="0"/>
        </w:trPr>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Net Debt to EBITDA Ratio</w:t>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Net Debt</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Bank overdrafts + Loans and borrowings + Finance leases + Deferred consideration payable – Cash and cash equivalents</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EBITDA</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Operating profit + Depreciation charge + Amortisation charge</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majority of the elements used to calculate the Net Debt to EBITDA Ratio should be shown on the face of the Balance sheet, Income statement and Statement of Cash Flows in a standard set of financial statements but will otherwise be found in the notes to the financial statements.</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Net Debt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elements of Net Debt may be described slightly differently and should be found either on the face of the Balance Sheet or in the relevant note to the financial statements. All interest bearing liabilities (other than retirement benefit obligations) should be included as borrowings as should, where disclosed, any liabilities (less any assets) in respect of any hedges designated as linked to borrowings (but not non-designated hedges). Borrowings should also include balances owed to other group members.</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Deferred consideration payable should be included in Net Debt despite typically being non-interest bearing.</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Cash and cash equivalents should include short-term financial investments shown in current assets.</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Net debt is negative (i.e. an entity has net cash), the relevant Financial Target Threshold should be treated as having been met. </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bookmarkStart w:colFirst="0" w:colLast="0" w:name="_heading=h.3dy6vkm" w:id="5"/>
            <w:bookmarkEnd w:id="5"/>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EBITDA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Operating profit should be shown on the face of the Income Statement and, for the purposes of calculating this Financial Indicator, should include the entity’s share of the results of any joint ventures or Associates.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depreciation and amortisation charges for the period may be found on the face of the Statement of Cash Flows or in a Note to the Accounts. Where EBITDA is negative, the relevant Financial Target Threshold should be treated as not having been met (unless Net Debt is also negative, in which case the relevant Financial Target Threshold should be treated as having been met).]</w:t>
            </w:r>
          </w:p>
        </w:tc>
      </w:tr>
      <w:tr>
        <w:trPr>
          <w:cantSplit w:val="0"/>
          <w:tblHeader w:val="0"/>
        </w:trPr>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Net Debt + Net  Pension Deficit to EBITDA ratio</w:t>
            </w:r>
          </w:p>
        </w:tc>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Net Debt</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Bank overdrafts + Loans and borrowings + Finance leases + Deferred consideration payable – Cash and cash equivalents</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Net Pension Deficit</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Retirement Benefit Obligations – Retirement Benefit Assets</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EBITDA</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Operating profit + Depreciation charge + Amortisation charge</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majority of the elements used to calculate the Net Debt + Net Pension Deficit to EBITDA Ratio should be shown on the face of the Balance sheet, Income statement and Statement of Cash Flows in a standard set of financial statements but will otherwise be found in the notes to the financial statements.</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Net Debt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elements of Net Debt may be described slightly differently and should be found either on the face of the Balance Sheet or in the relevant note to the financial statements. All interest bearing liabilities (other than retirement benefit obligations) should be included as borrowings as should, where disclosed, any liabilities (less any assets) in respect of any hedges designated as linked to borrowings (but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non-designated hedges). Borrowings should also include balances owed to other group members.</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Deferred consideration payable should be included in Net Debt despite typically being non-interest bearing.</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Cash and cash equivalents should include short-term financial investments shown in current assets.</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Net Pension Deficit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Retirement Benefit Obligations and Retirement Benefit Assets may be shown on the face of the Balance Sheet or in the notes to the financial statements. They may also be described as pension benefits / obligations, post-employment obligations or other similar terms. </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‘Net Debt + Net Pension Deficit’ is negative, the relevant Financial Target Threshold should be treated as having been met.</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EBITDA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Operating profit should be shown on the face of the Income Statement and, for the purposes of calculating this Financial Indicator, should include the entity’s share of the results of any joint ventures or Associates.</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depreciation and amortisation charges for the period may be found on the face of the Statement of Cash Flows or in a Note to the Accounts. </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EBITDA is negative, the relevant Financial Target Threshold should be treated as not having been met (unless ‘Net Debt + Net Pension Deficit’ is also negative, in which case the relevant Financial Target Threshold should be regarded as having been met).</w:t>
            </w:r>
          </w:p>
        </w:tc>
      </w:tr>
      <w:tr>
        <w:trPr>
          <w:cantSplit w:val="0"/>
          <w:tblHeader w:val="0"/>
        </w:trPr>
        <w:tc>
          <w:tcPr>
            <w:vAlign w:val="cente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Net Interest Paid Cover</w:t>
            </w:r>
          </w:p>
        </w:tc>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Earnings Before Interest and Tax</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Operating profit</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Net Interest Paid</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Interest paid – Interest received</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Operating profit should be shown on the face of the Income Statement in a standard set of financial statements and, for the purposes of calculating this Financial Indicator, should include the entity’s share of the results of any joint ventures or Associates.</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Interest received and interest paid should be shown on the face of the Cash Flow statement.</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Net interest paid is negative (i.e. the entity has net interest received), the relevant Financial Target Threshold should be treated as having been met.</w:t>
            </w:r>
          </w:p>
        </w:tc>
      </w:tr>
      <w:tr>
        <w:trPr>
          <w:cantSplit w:val="0"/>
          <w:tblHeader w:val="0"/>
        </w:trPr>
        <w:tc>
          <w:tcPr>
            <w:vAlign w:val="cente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Acid Ratio</w:t>
            </w:r>
          </w:p>
        </w:tc>
        <w:tc>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elements that are used to calculate the Acid Ratio are available on the face of the Balance Sheet in a standard set of financial statements.</w:t>
            </w:r>
          </w:p>
        </w:tc>
      </w:tr>
      <w:tr>
        <w:trPr>
          <w:cantSplit w:val="0"/>
          <w:tblHeader w:val="0"/>
        </w:trPr>
        <w:tc>
          <w:tcPr>
            <w:vAlign w:val="cente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6</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Net Asset value</w:t>
            </w:r>
          </w:p>
        </w:tc>
        <w:tc>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Net Assets are shown (but sometimes not labelled) on the face of the Balance Sheet of a standard set of financial statements. Net Assets are sometimes called net worth or ‘Shareholders’ Funds’. They represent the net assets available to the shareholders. Where an entity has a majority interest in another entity in which there are also minority or non-controlling interests (i.e. where it has a subsidiary partially owned by outside investors), Net Assets should be taken inclusive of minority or non-controlling interests (as if the entity owned 100% of such entity).</w:t>
            </w:r>
          </w:p>
        </w:tc>
      </w:tr>
      <w:tr>
        <w:trPr>
          <w:cantSplit w:val="0"/>
          <w:tblHeader w:val="0"/>
        </w:trPr>
        <w:tc>
          <w:tcPr>
            <w:vAlign w:val="cente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Group Exposure Ratio</w:t>
            </w:r>
          </w:p>
        </w:tc>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Group Exposure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Balances owed by Group Undertakings + Contingent liabilities assumed in support of Group Undertakings</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Gross Assets</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 Fixed Assets + Current Assets</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Group Exposure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Balances owed by (ie receivable from) Group Undertakings are shown within Fixed assets or Current assets either on the face of the Balance Sheet or in the relevant notes to the financial statements. In many cases there may be no such balances, in particular where an entity is not a member of a group or is itself the ultimate holding company of the group.</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Contingent liabilities assumed in support of Group Undertakings are shown in the Contingent Liabilities note in a standard set of financial statements. They include guarantees and security given in support of the borrowings of other group companies, often as part of group borrowing arrangements. Where the contingent liabilities are capped, the capped figure should be taken as their value. Where no cap or maximum is specified, the relevant Financial Target Threshold should automatically be regarded as not having been met.</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many cases an entity may not have assumed any contingent liabilities in support of Group Undertakings, in particular where an entity is not a member of a group or is itself the ultimate holding company of the group.</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single"/>
                <w:shd w:fill="auto" w:val="clear"/>
                <w:vertAlign w:val="baseline"/>
                <w:rtl w:val="0"/>
              </w:rPr>
              <w:t xml:space="preserve">Gross Assets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Both Fixed assets and Current assets are shown on the face of the Balance Sheet</w:t>
            </w:r>
          </w:p>
        </w:tc>
      </w:tr>
    </w:tbl>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spacing w:after="200" w:line="276"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300" w:before="100" w:line="240" w:lineRule="auto"/>
        <w:ind w:left="0" w:right="0" w:firstLine="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4d34og8" w:id="7"/>
      <w:bookmarkEnd w:id="7"/>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Annex 4: Board Confirmation</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Name:</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Contract Reference Number:</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Board of Directors acknowledge the requirements set out at paragraph 8 of Joint Schedule 7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Financial Difficulties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confirm that the Supplier has exercised due care and diligence and made reasonable enquiry of all relevant Supplier Staff and other persons as is reasonably necessary to enable the Board to prepare this statement.</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Board of Directors confirms, to the best of its knowledge and belief, that as at the date of this Board Confirmation it is not aware of and has no knowledge:</w:t>
      </w:r>
    </w:p>
    <w:p w:rsidR="00000000" w:rsidDel="00000000" w:rsidP="00000000" w:rsidRDefault="00000000" w:rsidRPr="00000000" w14:paraId="000000F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720"/>
          <w:tab w:val="left" w:leader="none" w:pos="1803"/>
        </w:tabs>
        <w:spacing w:after="200" w:before="100" w:line="240" w:lineRule="auto"/>
        <w:ind w:left="1803" w:right="0" w:hanging="1083"/>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a Financial Distress Event has occurred since the later of the previous Board Confirmation and the Effective Date or is subsisting; or</w:t>
      </w:r>
    </w:p>
    <w:p w:rsidR="00000000" w:rsidDel="00000000" w:rsidP="00000000" w:rsidRDefault="00000000" w:rsidRPr="00000000" w14:paraId="000000F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720"/>
          <w:tab w:val="left" w:leader="none" w:pos="1803"/>
        </w:tabs>
        <w:spacing w:after="200" w:before="100" w:line="240" w:lineRule="auto"/>
        <w:ind w:left="1803" w:right="0" w:hanging="1083"/>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any matters which have occurred or are subsisting that could reasonably be expected to cause a Financial Distress Event</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behalf of the Board of Directors:</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8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Chair</w:t>
        <w:tab/>
        <w:tab/>
        <w:t xml:space="preserve">…………………………………</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8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Signed</w:t>
        <w:tab/>
        <w:tab/>
        <w:t xml:space="preserve">…………………………………</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8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w:t>
        <w:tab/>
        <w:tab/>
        <w:t xml:space="preserve">…………………………………</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8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Director</w:t>
        <w:tab/>
        <w:tab/>
        <w:t xml:space="preserve">…………………………………</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8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Signed</w:t>
        <w:tab/>
        <w:tab/>
        <w:t xml:space="preserve">…………………………………</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8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w:t>
        <w:tab/>
        <w:tab/>
        <w:t xml:space="preserve">…………………………………</w:t>
      </w:r>
    </w:p>
    <w:p w:rsidR="00000000" w:rsidDel="00000000" w:rsidP="00000000" w:rsidRDefault="00000000" w:rsidRPr="00000000" w14:paraId="00000109">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A">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C">
      <w:pPr>
        <w:spacing w:after="0" w:lineRule="auto"/>
        <w:rPr>
          <w:rFonts w:ascii="Arial" w:cs="Arial" w:eastAsia="Arial" w:hAnsi="Arial"/>
          <w:sz w:val="24"/>
          <w:szCs w:val="24"/>
        </w:rPr>
      </w:pPr>
      <w:r w:rsidDel="00000000" w:rsidR="00000000" w:rsidRPr="00000000">
        <w:rPr>
          <w:rtl w:val="0"/>
        </w:rPr>
      </w:r>
    </w:p>
    <w:sectPr>
      <w:headerReference r:id="rId8" w:type="defaul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F">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tab/>
      <w:t xml:space="preserve">                                           </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1">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v1.2</w:t>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2">
    <w:pPr>
      <w:tabs>
        <w:tab w:val="center" w:leader="none" w:pos="4513"/>
        <w:tab w:val="right" w:leader="none" w:pos="9026"/>
      </w:tabs>
      <w:spacing w:after="0" w:lineRule="auto"/>
      <w:rPr>
        <w:color w:val="bfbfbf"/>
      </w:rPr>
    </w:pPr>
    <w:r w:rsidDel="00000000" w:rsidR="00000000" w:rsidRPr="00000000">
      <w:rPr>
        <w:color w:val="bfbfbf"/>
        <w:rtl w:val="0"/>
      </w:rPr>
      <w:t xml:space="preserve">DPS Ref: RM</w:t>
      <w:tab/>
      <w:t xml:space="preserve">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bfbfbf"/>
        <w:sz w:val="22"/>
        <w:szCs w:val="22"/>
        <w:u w:val="none"/>
        <w:shd w:fill="auto" w:val="clear"/>
        <w:vertAlign w:val="baseline"/>
      </w:rPr>
    </w:pPr>
    <w:r w:rsidDel="00000000" w:rsidR="00000000" w:rsidRPr="00000000">
      <w:rPr>
        <w:rFonts w:ascii="Calibri" w:cs="Calibri" w:eastAsia="Calibri" w:hAnsi="Calibri"/>
        <w:b w:val="0"/>
        <w:i w:val="0"/>
        <w:smallCaps w:val="0"/>
        <w:strike w:val="0"/>
        <w:color w:val="bfbfbf"/>
        <w:sz w:val="22"/>
        <w:szCs w:val="22"/>
        <w:u w:val="none"/>
        <w:shd w:fill="auto" w:val="clear"/>
        <w:vertAlign w:val="baseline"/>
        <w:rtl w:val="0"/>
      </w:rPr>
      <w:t xml:space="preserve">Project Version: v1.0</w:t>
      <w:tab/>
      <w:tab/>
      <w:tab/>
      <w:t xml:space="preserve"> </w:t>
    </w:r>
    <w:r w:rsidDel="00000000" w:rsidR="00000000" w:rsidRPr="00000000">
      <w:rPr>
        <w:rFonts w:ascii="Calibri" w:cs="Calibri" w:eastAsia="Calibri" w:hAnsi="Calibri"/>
        <w:b w:val="0"/>
        <w:i w:val="0"/>
        <w:smallCaps w:val="0"/>
        <w:strike w:val="0"/>
        <w:color w:val="bfbfbf"/>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4">
    <w:pPr>
      <w:spacing w:after="0" w:lineRule="auto"/>
      <w:rPr>
        <w:rFonts w:ascii="Arial" w:cs="Arial" w:eastAsia="Arial" w:hAnsi="Arial"/>
        <w:color w:val="bfbfbf"/>
        <w:sz w:val="20"/>
        <w:szCs w:val="20"/>
      </w:rPr>
    </w:pPr>
    <w:r w:rsidDel="00000000" w:rsidR="00000000" w:rsidRPr="00000000">
      <w:rPr>
        <w:color w:val="bfbfbf"/>
        <w:rtl w:val="0"/>
      </w:rPr>
      <w:t xml:space="preserve">Model Version : v3.0</w:t>
      <w:tab/>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Joint Schedule 7 (Financial Difficulties)</w:t>
    </w: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2023</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9.99999999999994"/>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i w:val="0"/>
        <w:smallCaps w:val="0"/>
        <w:strike w:val="0"/>
        <w:color w:val="000000"/>
        <w:u w:val="none"/>
        <w:vertAlign w:val="baseline"/>
      </w:rPr>
    </w:lvl>
    <w:lvl w:ilvl="5">
      <w:start w:val="1"/>
      <w:numFmt w:val="upperLetter"/>
      <w:lvlText w:val="(%6)"/>
      <w:lvlJc w:val="left"/>
      <w:pPr>
        <w:ind w:left="1440" w:hanging="1080"/>
      </w:pPr>
      <w:rPr>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numPr>
        <w:numId w:val="2"/>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clear" w:pos="1985"/>
      </w:tabs>
      <w:ind w:left="2592" w:hanging="936"/>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Definition" w:customStyle="1">
    <w:name w:val="GPs Definition"/>
    <w:basedOn w:val="Normal"/>
    <w:qFormat w:val="1"/>
    <w:pPr>
      <w:numPr>
        <w:numId w:val="1"/>
      </w:numPr>
      <w:tabs>
        <w:tab w:val="left" w:pos="175"/>
      </w:tabs>
      <w:spacing w:after="120"/>
    </w:pPr>
  </w:style>
  <w:style w:type="paragraph" w:styleId="GPSDefinitionL2" w:customStyle="1">
    <w:name w:val="GPS Definition L2"/>
    <w:basedOn w:val="GPsDefinition"/>
    <w:qFormat w:val="1"/>
    <w:pPr>
      <w:numPr>
        <w:ilvl w:val="1"/>
      </w:numPr>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ind w:left="-108"/>
      <w:jc w:val="left"/>
    </w:pPr>
    <w:rPr>
      <w:b w:val="1"/>
    </w:rPr>
  </w:style>
  <w:style w:type="paragraph" w:styleId="GPSL1SCHEDULEHeading" w:customStyle="1">
    <w:name w:val="GPS L1 SCHEDULE Heading"/>
    <w:basedOn w:val="GPSL1CLAUSEHEADING"/>
    <w:link w:val="GPSL1SCHEDULEHeadingChar"/>
    <w:qFormat w:val="1"/>
    <w:pPr>
      <w:outlineLvl w:val="9"/>
    </w:pPr>
  </w:style>
  <w:style w:type="paragraph" w:styleId="GPSL2Indent" w:customStyle="1">
    <w:name w:val="GPS L2 Indent"/>
    <w:basedOn w:val="Normal"/>
    <w:link w:val="GPSL2IndentChar"/>
    <w:qFormat w:val="1"/>
    <w:pPr>
      <w:tabs>
        <w:tab w:val="left" w:pos="3402"/>
      </w:tabs>
      <w:spacing w:after="220"/>
      <w:ind w:left="1134"/>
    </w:pPr>
    <w:rPr>
      <w:szCs w:val="24"/>
    </w:rPr>
  </w:style>
  <w:style w:type="paragraph" w:styleId="GPSL3Indent" w:customStyle="1">
    <w:name w:val="GPS L3 Indent"/>
    <w:basedOn w:val="Normal"/>
    <w:link w:val="GPSL3IndentChar"/>
    <w:pPr>
      <w:overflowPunct w:val="1"/>
      <w:autoSpaceDE w:val="1"/>
      <w:autoSpaceDN w:val="1"/>
      <w:spacing w:after="120" w:before="120"/>
      <w:ind w:left="1985"/>
      <w:textAlignment w:val="auto"/>
    </w:pPr>
    <w:rPr>
      <w:lang w:eastAsia="zh-CN" w:val="en-US"/>
    </w:rPr>
  </w:style>
  <w:style w:type="paragraph" w:styleId="GPSmacrorestart" w:customStyle="1">
    <w:name w:val="GPS macro restart"/>
    <w:basedOn w:val="Normal"/>
    <w:qFormat w:val="1"/>
    <w:pPr>
      <w:spacing w:after="0"/>
    </w:pPr>
    <w:rPr>
      <w:color w:val="ffffff"/>
      <w:sz w:val="16"/>
      <w:szCs w:val="16"/>
    </w:rPr>
  </w:style>
  <w:style w:type="paragraph" w:styleId="GPSSchAnnexname" w:customStyle="1">
    <w:name w:val="GPS Sch Annex name"/>
    <w:basedOn w:val="Normal"/>
    <w:link w:val="GPSSchAnnexnameChar"/>
    <w:qFormat w:val="1"/>
    <w:pPr>
      <w:keepNext w:val="1"/>
      <w:overflowPunct w:val="1"/>
      <w:autoSpaceDE w:val="1"/>
      <w:autoSpaceDN w:val="1"/>
      <w:ind w:firstLine="426"/>
      <w:jc w:val="center"/>
      <w:textAlignment w:val="auto"/>
      <w:outlineLvl w:val="1"/>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3IndentChar" w:customStyle="1">
    <w:name w:val="GPS L3 Indent Char"/>
    <w:link w:val="GPSL3Indent"/>
    <w:locked w:val="1"/>
    <w:rPr>
      <w:rFonts w:ascii="Calibri" w:cs="Arial" w:eastAsia="Times New Roman" w:hAnsi="Calibri"/>
      <w:lang w:eastAsia="zh-CN" w:val="en-US"/>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2IndentChar" w:customStyle="1">
    <w:name w:val="GPS L2 Indent Char"/>
    <w:link w:val="GPSL2Indent"/>
    <w:rPr>
      <w:rFonts w:ascii="Calibri" w:cs="Arial" w:eastAsia="Times New Roman" w:hAnsi="Calibri"/>
      <w:szCs w:val="24"/>
    </w:rPr>
  </w:style>
  <w:style w:type="character" w:styleId="GPSSchAnnexnameChar" w:customStyle="1">
    <w:name w:val="GPS Sch Annex name Char"/>
    <w:link w:val="GPSSchAnnexname"/>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basedOn w:val="DefaultParagraphFont"/>
    <w:link w:val="CommentText"/>
    <w:uiPriority w:val="99"/>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character" w:styleId="Hyperlink">
    <w:name w:val="Hyperlink"/>
    <w:basedOn w:val="DefaultParagraphFont"/>
    <w:uiPriority w:val="99"/>
    <w:semiHidden w:val="1"/>
    <w:unhideWhenUsed w:val="1"/>
    <w:rPr>
      <w:color w:val="0000ff"/>
      <w:u w:val="single"/>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line="240" w:lineRule="auto"/>
    </w:pPr>
    <w:rPr>
      <w:rFonts w:ascii="Calibri" w:cs="Arial" w:eastAsia="Times New Roman" w:hAnsi="Calibri"/>
    </w:rPr>
  </w:style>
  <w:style w:type="paragraph" w:styleId="StdBodyText" w:customStyle="1">
    <w:name w:val="Std Body Text"/>
    <w:basedOn w:val="Normal"/>
    <w:qFormat w:val="1"/>
    <w:rsid w:val="006B5FA9"/>
    <w:pPr>
      <w:overflowPunct w:val="1"/>
      <w:autoSpaceDE w:val="1"/>
      <w:autoSpaceDN w:val="1"/>
      <w:adjustRightInd w:val="1"/>
      <w:spacing w:after="200" w:before="100"/>
      <w:jc w:val="left"/>
      <w:textAlignment w:val="auto"/>
    </w:pPr>
    <w:rPr>
      <w:rFonts w:ascii="Arial" w:cs="Times New Roman" w:hAnsi="Arial"/>
      <w:sz w:val="24"/>
      <w:szCs w:val="24"/>
      <w:lang w:eastAsia="en-GB"/>
    </w:rPr>
  </w:style>
  <w:style w:type="paragraph" w:styleId="StdBodyTextBold" w:customStyle="1">
    <w:name w:val="Std Body Text Bold"/>
    <w:basedOn w:val="Normal"/>
    <w:next w:val="StdBodyText"/>
    <w:link w:val="StdBodyTextBoldChar"/>
    <w:qFormat w:val="1"/>
    <w:rsid w:val="006B5FA9"/>
    <w:pPr>
      <w:overflowPunct w:val="1"/>
      <w:autoSpaceDE w:val="1"/>
      <w:autoSpaceDN w:val="1"/>
      <w:adjustRightInd w:val="1"/>
      <w:spacing w:after="200" w:before="100"/>
      <w:jc w:val="left"/>
      <w:textAlignment w:val="auto"/>
    </w:pPr>
    <w:rPr>
      <w:rFonts w:ascii="Arial" w:cs="Times New Roman" w:hAnsi="Arial"/>
      <w:b w:val="1"/>
      <w:sz w:val="24"/>
      <w:szCs w:val="24"/>
      <w:lang w:eastAsia="en-GB"/>
    </w:rPr>
  </w:style>
  <w:style w:type="character" w:styleId="StdBodyTextBoldChar" w:customStyle="1">
    <w:name w:val="Std Body Text Bold Char"/>
    <w:basedOn w:val="DefaultParagraphFont"/>
    <w:link w:val="StdBodyTextBold"/>
    <w:rsid w:val="006B5FA9"/>
    <w:rPr>
      <w:rFonts w:ascii="Arial" w:cs="Times New Roman" w:eastAsia="Times New Roman" w:hAnsi="Arial"/>
      <w:b w:val="1"/>
      <w:sz w:val="24"/>
      <w:szCs w:val="24"/>
      <w:lang w:eastAsia="en-GB"/>
    </w:rPr>
  </w:style>
  <w:style w:type="paragraph" w:styleId="StdBodyText1" w:customStyle="1">
    <w:name w:val="Std Body Text 1"/>
    <w:basedOn w:val="StdBodyText"/>
    <w:rsid w:val="006B5FA9"/>
    <w:pPr>
      <w:ind w:left="720"/>
    </w:pPr>
  </w:style>
  <w:style w:type="paragraph" w:styleId="AnnexHeading" w:customStyle="1">
    <w:name w:val="Annex Heading"/>
    <w:basedOn w:val="Normal"/>
    <w:next w:val="Normal"/>
    <w:rsid w:val="006B5FA9"/>
    <w:pPr>
      <w:numPr>
        <w:numId w:val="15"/>
      </w:numPr>
      <w:overflowPunct w:val="1"/>
      <w:autoSpaceDE w:val="1"/>
      <w:autoSpaceDN w:val="1"/>
      <w:adjustRightInd w:val="1"/>
      <w:spacing w:after="300" w:before="100"/>
      <w:jc w:val="center"/>
      <w:textAlignment w:val="auto"/>
    </w:pPr>
    <w:rPr>
      <w:rFonts w:ascii="Arial Bold" w:cs="Times New Roman" w:hAnsi="Arial Bold"/>
      <w:b w:val="1"/>
      <w:caps w:val="1"/>
      <w:sz w:val="24"/>
      <w:szCs w:val="24"/>
      <w:lang w:eastAsia="en-GB"/>
    </w:rPr>
  </w:style>
  <w:style w:type="paragraph" w:styleId="AppendixText1" w:customStyle="1">
    <w:name w:val="Appendix Text 1"/>
    <w:basedOn w:val="Normal"/>
    <w:next w:val="StdBodyText1"/>
    <w:rsid w:val="006B5FA9"/>
    <w:pPr>
      <w:numPr>
        <w:numId w:val="16"/>
      </w:numPr>
      <w:overflowPunct w:val="1"/>
      <w:autoSpaceDE w:val="1"/>
      <w:autoSpaceDN w:val="1"/>
      <w:adjustRightInd w:val="1"/>
      <w:spacing w:after="200" w:before="100"/>
      <w:jc w:val="left"/>
      <w:textAlignment w:val="auto"/>
    </w:pPr>
    <w:rPr>
      <w:rFonts w:ascii="Arial" w:cs="Times New Roman" w:hAnsi="Arial"/>
      <w:b w:val="1"/>
      <w:sz w:val="24"/>
      <w:szCs w:val="24"/>
      <w:lang w:eastAsia="en-GB"/>
    </w:rPr>
  </w:style>
  <w:style w:type="paragraph" w:styleId="AppendixText2" w:customStyle="1">
    <w:name w:val="Appendix Text 2"/>
    <w:basedOn w:val="AppendixText1"/>
    <w:next w:val="Normal"/>
    <w:rsid w:val="006B5FA9"/>
    <w:pPr>
      <w:numPr>
        <w:ilvl w:val="1"/>
      </w:numPr>
    </w:pPr>
    <w:rPr>
      <w:b w:val="0"/>
    </w:rPr>
  </w:style>
  <w:style w:type="paragraph" w:styleId="AppendixText3" w:customStyle="1">
    <w:name w:val="Appendix Text 3"/>
    <w:basedOn w:val="Normal"/>
    <w:next w:val="Normal"/>
    <w:rsid w:val="006B5FA9"/>
    <w:pPr>
      <w:numPr>
        <w:ilvl w:val="2"/>
        <w:numId w:val="16"/>
      </w:numPr>
      <w:tabs>
        <w:tab w:val="left" w:pos="720"/>
        <w:tab w:val="left" w:pos="1803"/>
      </w:tabs>
      <w:overflowPunct w:val="1"/>
      <w:autoSpaceDE w:val="1"/>
      <w:autoSpaceDN w:val="1"/>
      <w:adjustRightInd w:val="1"/>
      <w:spacing w:after="200" w:before="100"/>
      <w:jc w:val="left"/>
      <w:textAlignment w:val="auto"/>
    </w:pPr>
    <w:rPr>
      <w:rFonts w:ascii="Arial" w:cs="Times New Roman" w:hAnsi="Arial"/>
      <w:sz w:val="24"/>
      <w:szCs w:val="24"/>
      <w:lang w:eastAsia="en-GB"/>
    </w:rPr>
  </w:style>
  <w:style w:type="paragraph" w:styleId="AppendixText4" w:customStyle="1">
    <w:name w:val="Appendix Text 4"/>
    <w:basedOn w:val="Normal"/>
    <w:next w:val="Normal"/>
    <w:rsid w:val="006B5FA9"/>
    <w:pPr>
      <w:numPr>
        <w:ilvl w:val="3"/>
        <w:numId w:val="16"/>
      </w:numPr>
      <w:tabs>
        <w:tab w:val="left" w:pos="720"/>
        <w:tab w:val="left" w:pos="1803"/>
      </w:tabs>
      <w:overflowPunct w:val="1"/>
      <w:autoSpaceDE w:val="1"/>
      <w:autoSpaceDN w:val="1"/>
      <w:adjustRightInd w:val="1"/>
      <w:spacing w:after="200" w:before="100"/>
      <w:jc w:val="left"/>
      <w:textAlignment w:val="auto"/>
    </w:pPr>
    <w:rPr>
      <w:rFonts w:ascii="Arial" w:cs="Times New Roman" w:hAnsi="Arial"/>
      <w:sz w:val="24"/>
      <w:szCs w:val="24"/>
      <w:lang w:eastAsia="en-GB"/>
    </w:rPr>
  </w:style>
  <w:style w:type="paragraph" w:styleId="AppendixText5" w:customStyle="1">
    <w:name w:val="Appendix Text 5"/>
    <w:basedOn w:val="Normal"/>
    <w:next w:val="Normal"/>
    <w:rsid w:val="006B5FA9"/>
    <w:pPr>
      <w:numPr>
        <w:ilvl w:val="4"/>
        <w:numId w:val="16"/>
      </w:numPr>
      <w:tabs>
        <w:tab w:val="left" w:pos="720"/>
        <w:tab w:val="left" w:pos="2523"/>
      </w:tabs>
      <w:overflowPunct w:val="1"/>
      <w:autoSpaceDE w:val="1"/>
      <w:autoSpaceDN w:val="1"/>
      <w:adjustRightInd w:val="1"/>
      <w:spacing w:after="200" w:before="100"/>
      <w:jc w:val="left"/>
      <w:textAlignment w:val="auto"/>
    </w:pPr>
    <w:rPr>
      <w:rFonts w:ascii="Arial" w:cs="Times New Roman" w:hAnsi="Arial"/>
      <w:sz w:val="24"/>
      <w:szCs w:val="24"/>
      <w:lang w:eastAsia="en-GB"/>
    </w:rPr>
  </w:style>
  <w:style w:type="paragraph" w:styleId="AppendixText6" w:customStyle="1">
    <w:name w:val="Appendix Text 6"/>
    <w:basedOn w:val="AppendixText5"/>
    <w:rsid w:val="006B5FA9"/>
    <w:pPr>
      <w:numPr>
        <w:ilvl w:val="5"/>
      </w:numPr>
    </w:pPr>
  </w:style>
  <w:style w:type="paragraph" w:styleId="StdBodyText4" w:customStyle="1">
    <w:name w:val="Std Body Text 4"/>
    <w:basedOn w:val="Normal"/>
    <w:rsid w:val="006B5FA9"/>
    <w:pPr>
      <w:overflowPunct w:val="1"/>
      <w:autoSpaceDE w:val="1"/>
      <w:autoSpaceDN w:val="1"/>
      <w:adjustRightInd w:val="1"/>
      <w:spacing w:after="200" w:before="100"/>
      <w:ind w:left="1803"/>
      <w:jc w:val="left"/>
      <w:textAlignment w:val="auto"/>
    </w:pPr>
    <w:rPr>
      <w:rFonts w:ascii="Arial" w:cs="Times New Roman" w:hAnsi="Arial"/>
      <w:sz w:val="24"/>
      <w:szCs w:val="24"/>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strategic-suppliers"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pPV1ZR7DM5iE/p4Al9duV06C9A==">CgMxLjAyCGguZ2pkZ3hzMgloLjMwajB6bGwyCWguMWZvYjl0ZTIJaC4zem55c2g3MghoLnR5amN3dDIJaC4zZHk2dmttMgloLjF0M2g1c2YyCWguNGQzNG9nODIJaC4yczhleW8xOAByITFqTThNUmFxWmY4X05yY3Blb2pLSmFqelVFbWpsb09XVw==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2023-05-23T15:42:00Z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